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42264" w:rsidRDefault="00442264">
      <w:pPr>
        <w:pStyle w:val="Title"/>
        <w:spacing w:before="0" w:after="60"/>
        <w:ind w:left="720" w:hanging="360"/>
        <w:contextualSpacing w:val="0"/>
      </w:pPr>
      <w:bookmarkStart w:id="0" w:name="_m44lvw7en685"/>
      <w:bookmarkEnd w:id="0"/>
      <w:r>
        <w:rPr>
          <w:rFonts w:ascii="Ubuntu" w:hAnsi="Ubuntu" w:cs="Ubuntu"/>
          <w:sz w:val="52"/>
          <w:szCs w:val="52"/>
        </w:rPr>
        <w:t>Convenzione per l’Esercizio di Portanti Ottiche</w:t>
      </w:r>
    </w:p>
    <w:p w:rsidR="00442264" w:rsidRDefault="00442264">
      <w:pPr>
        <w:pStyle w:val="normal0"/>
        <w:ind w:left="720" w:hanging="360"/>
        <w:jc w:val="center"/>
      </w:pPr>
      <w:r>
        <w:rPr>
          <w:b/>
        </w:rPr>
        <w:t>TRA</w:t>
      </w:r>
    </w:p>
    <w:p w:rsidR="00442264" w:rsidRDefault="00442264">
      <w:pPr>
        <w:pStyle w:val="normal0"/>
        <w:numPr>
          <w:ilvl w:val="0"/>
          <w:numId w:val="13"/>
        </w:numPr>
        <w:ind w:hanging="360"/>
        <w:contextualSpacing/>
      </w:pPr>
      <w:r>
        <w:rPr>
          <w:b/>
        </w:rPr>
        <w:t xml:space="preserve">Provincia di Reggio Emilia </w:t>
      </w:r>
      <w:r>
        <w:t xml:space="preserve">(di seguito denominato “Provincia”), </w:t>
      </w:r>
      <w:r>
        <w:rPr>
          <w:highlight w:val="yellow"/>
        </w:rPr>
        <w:t>rappresentato dal XXXXX</w:t>
      </w:r>
    </w:p>
    <w:p w:rsidR="00442264" w:rsidRDefault="00442264">
      <w:pPr>
        <w:pStyle w:val="normal0"/>
        <w:ind w:left="720" w:hanging="360"/>
        <w:jc w:val="center"/>
      </w:pPr>
      <w:r>
        <w:rPr>
          <w:b/>
        </w:rPr>
        <w:t>E</w:t>
      </w:r>
    </w:p>
    <w:p w:rsidR="00442264" w:rsidRDefault="00442264">
      <w:pPr>
        <w:pStyle w:val="normal0"/>
        <w:numPr>
          <w:ilvl w:val="0"/>
          <w:numId w:val="5"/>
        </w:numPr>
        <w:ind w:hanging="360"/>
        <w:contextualSpacing/>
      </w:pPr>
      <w:r>
        <w:rPr>
          <w:b/>
        </w:rPr>
        <w:t>Lepida S.p.A.</w:t>
      </w:r>
      <w:r>
        <w:t xml:space="preserve"> (di seguito denominata “LepidaSpA”), rappresentata dal Direttore Generale, Prof. Gianluca Mazzini, </w:t>
      </w:r>
      <w:r>
        <w:rPr>
          <w:highlight w:val="yellow"/>
        </w:rPr>
        <w:t>che agisce in base al mandato XXXX</w:t>
      </w:r>
      <w:r>
        <w:t>;</w:t>
      </w:r>
    </w:p>
    <w:p w:rsidR="00442264" w:rsidRDefault="00442264">
      <w:pPr>
        <w:pStyle w:val="normal0"/>
        <w:ind w:left="720" w:hanging="360"/>
      </w:pPr>
    </w:p>
    <w:p w:rsidR="00442264" w:rsidRDefault="00442264">
      <w:pPr>
        <w:pStyle w:val="normal0"/>
        <w:ind w:left="720" w:hanging="360"/>
      </w:pPr>
      <w:r>
        <w:t>(Provincia e LepidaSpA “Parti” o ciascuna singolarmente “Parte”)</w:t>
      </w:r>
    </w:p>
    <w:p w:rsidR="00442264" w:rsidRDefault="00442264">
      <w:pPr>
        <w:pStyle w:val="normal0"/>
      </w:pPr>
    </w:p>
    <w:p w:rsidR="00442264" w:rsidRDefault="00442264">
      <w:pPr>
        <w:pStyle w:val="Heading1"/>
        <w:contextualSpacing w:val="0"/>
        <w:jc w:val="center"/>
      </w:pPr>
      <w:bookmarkStart w:id="1" w:name="_qxx47getetaw" w:colFirst="0" w:colLast="0"/>
      <w:bookmarkEnd w:id="1"/>
      <w:r>
        <w:t>Premesso che:</w:t>
      </w:r>
    </w:p>
    <w:p w:rsidR="00442264" w:rsidRDefault="00442264">
      <w:pPr>
        <w:pStyle w:val="normal0"/>
      </w:pPr>
    </w:p>
    <w:p w:rsidR="00442264" w:rsidRDefault="00442264">
      <w:pPr>
        <w:pStyle w:val="normal0"/>
        <w:numPr>
          <w:ilvl w:val="0"/>
          <w:numId w:val="6"/>
        </w:numPr>
        <w:ind w:hanging="360"/>
        <w:contextualSpacing/>
      </w:pPr>
      <w:r>
        <w:t>il Codice delle Comunicazioni Elettroniche D.Lgs. 259/03 disciplina tra l'altro che tutte le attività di comunicazione ad uso privato sono sottoposte ad autorizzazione ministeriale ai sensi degli artt. 99, 104 e 107, ad eccezione di quelle libere, di cui all'art. 105;</w:t>
      </w:r>
    </w:p>
    <w:p w:rsidR="00442264" w:rsidRDefault="00442264">
      <w:pPr>
        <w:pStyle w:val="normal0"/>
        <w:numPr>
          <w:ilvl w:val="0"/>
          <w:numId w:val="6"/>
        </w:numPr>
        <w:ind w:hanging="360"/>
        <w:contextualSpacing/>
      </w:pPr>
      <w:r>
        <w:rPr>
          <w:highlight w:val="white"/>
        </w:rPr>
        <w:t xml:space="preserve">l’art. 6 del </w:t>
      </w:r>
      <w:r>
        <w:t>D.Lgs. 259/03</w:t>
      </w:r>
      <w:r>
        <w:rPr>
          <w:highlight w:val="white"/>
        </w:rPr>
        <w:t xml:space="preserve"> prevede che “Lo  Stato, le Regioni e gli Enti locali, o loro associazioni, non  possono fornire reti o servizi di comunicazione elettronica accessibili al pubblico, se non attraverso società controllate o collegate.”;</w:t>
      </w:r>
    </w:p>
    <w:p w:rsidR="00442264" w:rsidRDefault="00442264">
      <w:pPr>
        <w:pStyle w:val="normal0"/>
        <w:numPr>
          <w:ilvl w:val="0"/>
          <w:numId w:val="6"/>
        </w:numPr>
        <w:ind w:hanging="360"/>
        <w:contextualSpacing/>
      </w:pPr>
      <w:r>
        <w:t>la Provincia, pur disponendo di portanti ottici e radio in banda libera in attraversamento suolo pubblico, non dispone delle necessarie autorizzazioni ministeriali per la gestione dei suddetti portanti in quanto "non operatore TLC", autorizzazione necessaria ogni qual volta si esca da attività di “coll</w:t>
      </w:r>
      <w:r>
        <w:rPr>
          <w:highlight w:val="white"/>
        </w:rPr>
        <w:t xml:space="preserve">egamenti nel  proprio fondo o in più fondi dello stesso proprietario, possessore o detentore  purché contigui, ovvero nell'ambito dello stesso edificio per collegare una parte di proprietà  del  privato  con  altra  comune,  purché  non connessi alle reti di  comunicazione  elettronica  ad  uso  pubblico” ai sensi dell’art. 99 comma 5 del </w:t>
      </w:r>
      <w:r>
        <w:t>D.Lgs. 259/03</w:t>
      </w:r>
      <w:r>
        <w:rPr>
          <w:highlight w:val="white"/>
        </w:rPr>
        <w:t>;</w:t>
      </w:r>
    </w:p>
    <w:p w:rsidR="00442264" w:rsidRDefault="00442264">
      <w:pPr>
        <w:pStyle w:val="normal0"/>
        <w:numPr>
          <w:ilvl w:val="0"/>
          <w:numId w:val="6"/>
        </w:numPr>
        <w:ind w:hanging="360"/>
        <w:contextualSpacing/>
      </w:pPr>
      <w:r>
        <w:t>la Provincia utilizza, per la comunicazione tra le proprie sedi, apparati di telecomunicazione il cui uso è subordinato alla relativa legislazione;</w:t>
      </w:r>
    </w:p>
    <w:p w:rsidR="00442264" w:rsidRDefault="00442264">
      <w:pPr>
        <w:pStyle w:val="normal0"/>
        <w:numPr>
          <w:ilvl w:val="0"/>
          <w:numId w:val="6"/>
        </w:numPr>
        <w:ind w:hanging="360"/>
        <w:contextualSpacing/>
      </w:pPr>
      <w:r>
        <w:t>la Provincia considera l’esercizio di tali reti nell'interesse e per i fini istituzionali e programmatici definiti dalla Provincia stessa;</w:t>
      </w:r>
    </w:p>
    <w:p w:rsidR="00442264" w:rsidRDefault="00442264">
      <w:pPr>
        <w:pStyle w:val="normal0"/>
        <w:numPr>
          <w:ilvl w:val="0"/>
          <w:numId w:val="6"/>
        </w:numPr>
        <w:ind w:hanging="360"/>
        <w:contextualSpacing/>
      </w:pPr>
      <w:r>
        <w:t xml:space="preserve">LepidaSpA è la società costituita nel 2007 ai sensi della L.R. 11/2004 con l'obiettivo, tra l'altro, di gestire la realizzazione ed i successivi utilizzi delle reti; </w:t>
      </w:r>
    </w:p>
    <w:p w:rsidR="00442264" w:rsidRDefault="00442264">
      <w:pPr>
        <w:pStyle w:val="normal0"/>
        <w:numPr>
          <w:ilvl w:val="0"/>
          <w:numId w:val="6"/>
        </w:numPr>
        <w:ind w:hanging="360"/>
        <w:contextualSpacing/>
      </w:pPr>
      <w:r>
        <w:t>LepidaSpA, ad esclusivo capitale pubblico, é lo strumento operativo promosso dalla Regione Emilia-Romagna per la pianificazione, lo sviluppo e la gestione della rete di telecomunicazione e per l'erogazione dei servizi informatici inclusi nell'architettura di rete;</w:t>
      </w:r>
    </w:p>
    <w:p w:rsidR="00442264" w:rsidRDefault="00442264">
      <w:pPr>
        <w:pStyle w:val="normal0"/>
        <w:numPr>
          <w:ilvl w:val="0"/>
          <w:numId w:val="6"/>
        </w:numPr>
        <w:ind w:hanging="360"/>
        <w:contextualSpacing/>
      </w:pPr>
      <w:r>
        <w:t>LepidaSpA è operatore di telecomunicazioni per reti private con autorizzazione 5440/FO;</w:t>
      </w:r>
    </w:p>
    <w:p w:rsidR="00442264" w:rsidRDefault="00442264">
      <w:pPr>
        <w:pStyle w:val="normal0"/>
        <w:numPr>
          <w:ilvl w:val="0"/>
          <w:numId w:val="6"/>
        </w:numPr>
        <w:ind w:hanging="360"/>
        <w:contextualSpacing/>
      </w:pPr>
      <w:r>
        <w:t>LepidaSpA è operatore di telecomunicazioni per reti pubbliche con autorizzazione MAR/14698 oltre che alla interconnessione con altre reti;</w:t>
      </w:r>
    </w:p>
    <w:p w:rsidR="00442264" w:rsidRDefault="00442264">
      <w:pPr>
        <w:pStyle w:val="normal0"/>
        <w:numPr>
          <w:ilvl w:val="0"/>
          <w:numId w:val="6"/>
        </w:numPr>
        <w:ind w:hanging="360"/>
        <w:contextualSpacing/>
      </w:pPr>
      <w:r>
        <w:t>LepidaSpA è iscritta al Registro degli Operatori di Comunicazione con numero 21421;</w:t>
      </w:r>
    </w:p>
    <w:p w:rsidR="00442264" w:rsidRDefault="00442264">
      <w:pPr>
        <w:pStyle w:val="normal0"/>
        <w:numPr>
          <w:ilvl w:val="0"/>
          <w:numId w:val="6"/>
        </w:numPr>
        <w:ind w:hanging="360"/>
        <w:contextualSpacing/>
      </w:pPr>
      <w:r>
        <w:t>la Provincia è Socio di LepidaSpA e come tale effettua il controllo analogo secondo quanto previsto nella L.R. 11/2004 e nello statuto;</w:t>
      </w:r>
    </w:p>
    <w:p w:rsidR="00442264" w:rsidRDefault="00442264">
      <w:pPr>
        <w:pStyle w:val="normal0"/>
        <w:numPr>
          <w:ilvl w:val="0"/>
          <w:numId w:val="6"/>
        </w:numPr>
        <w:ind w:hanging="360"/>
        <w:contextualSpacing/>
      </w:pPr>
      <w:r>
        <w:t>reti private non possono essere interconnesse secondo l’art. 122 del D.Lgs. 259/03 se non con esplicita autorizzazione, per cui nel caso più reti private siano sotto l’egida di LepidaSpA in uso esclusivo queste rappresentano un’unica rete privata;</w:t>
      </w:r>
    </w:p>
    <w:p w:rsidR="00442264" w:rsidRDefault="00442264">
      <w:pPr>
        <w:pStyle w:val="normal0"/>
        <w:numPr>
          <w:ilvl w:val="0"/>
          <w:numId w:val="6"/>
        </w:numPr>
        <w:spacing w:before="440" w:after="660"/>
        <w:ind w:hanging="360"/>
        <w:contextualSpacing/>
      </w:pPr>
      <w:r>
        <w:t>ai sensi dell’art. 101 comma 1 del D.Lgs. 259/03 “Il titolare di autorizzazione generale ad  uso privato può utilizzare le reti di comunicazione elettronica soltanto per trasmissioni riguardanti attività di pertinenza propria, con divieto di effettuare traffico per conto terzi.”;</w:t>
      </w:r>
    </w:p>
    <w:p w:rsidR="00442264" w:rsidRDefault="00442264">
      <w:pPr>
        <w:pStyle w:val="normal0"/>
        <w:numPr>
          <w:ilvl w:val="0"/>
          <w:numId w:val="6"/>
        </w:numPr>
        <w:ind w:hanging="360"/>
        <w:contextualSpacing/>
      </w:pPr>
      <w:r>
        <w:t>reti pubbliche forniscono l’accesso in modo non discriminante a tutti i soggetti richiedenti secondo quanto previsto nella Carta dei Servizi basata sui principi del D.P.C.M.  del 27 gennaio 1994;</w:t>
      </w:r>
    </w:p>
    <w:p w:rsidR="00442264" w:rsidRDefault="00442264">
      <w:pPr>
        <w:pStyle w:val="normal0"/>
        <w:numPr>
          <w:ilvl w:val="0"/>
          <w:numId w:val="6"/>
        </w:numPr>
        <w:ind w:hanging="360"/>
        <w:contextualSpacing/>
      </w:pPr>
      <w:r>
        <w:t>LepidaSpA ha adottato una Carta dei Servizi, comunicata ad AGCOM e pubblicata nel sito istituzionale di LepidaSpA all’URL http://www.lepida.it/sites/default/files/u8/Chi_siamo/doc_societaria/Carta%20dei%20servizi%20di%20LepidaSpA.pdf;</w:t>
      </w:r>
    </w:p>
    <w:p w:rsidR="00442264" w:rsidRDefault="00442264">
      <w:pPr>
        <w:pStyle w:val="normal0"/>
        <w:numPr>
          <w:ilvl w:val="0"/>
          <w:numId w:val="6"/>
        </w:numPr>
        <w:ind w:hanging="360"/>
        <w:contextualSpacing/>
      </w:pPr>
      <w:r>
        <w:t>l’esercizio di una rete non ne prevede la proprietà ma l’uso esclusivo;</w:t>
      </w:r>
    </w:p>
    <w:p w:rsidR="00442264" w:rsidRDefault="00442264">
      <w:pPr>
        <w:pStyle w:val="normal0"/>
        <w:numPr>
          <w:ilvl w:val="0"/>
          <w:numId w:val="6"/>
        </w:numPr>
        <w:ind w:hanging="360"/>
        <w:contextualSpacing/>
      </w:pPr>
      <w:r>
        <w:t>la Regione Emilia-Romagna con D.G.R. 1907 del 06/12/2010 e ss. mm., ha tra l'altro affidato a LepidaSpA la concessione per l'uso esclusivo e non oneroso delle proprie reti di telecomunicazioni per il relativo esercizio e ha inoltre previsto la stessa possibilità da parte degli Enti soci della stessa LepidaSpA.</w:t>
      </w:r>
    </w:p>
    <w:p w:rsidR="00442264" w:rsidRDefault="00442264">
      <w:pPr>
        <w:pStyle w:val="normal0"/>
      </w:pPr>
    </w:p>
    <w:p w:rsidR="00442264" w:rsidRDefault="00442264">
      <w:pPr>
        <w:pStyle w:val="normal0"/>
        <w:ind w:left="720" w:hanging="360"/>
        <w:jc w:val="center"/>
      </w:pPr>
      <w:r>
        <w:rPr>
          <w:b/>
          <w:sz w:val="36"/>
          <w:szCs w:val="36"/>
        </w:rPr>
        <w:t xml:space="preserve">Tutto ciò premesso, </w:t>
      </w:r>
    </w:p>
    <w:p w:rsidR="00442264" w:rsidRDefault="00442264">
      <w:pPr>
        <w:pStyle w:val="normal0"/>
        <w:ind w:left="720" w:hanging="360"/>
        <w:jc w:val="center"/>
      </w:pPr>
      <w:r>
        <w:rPr>
          <w:b/>
          <w:sz w:val="36"/>
          <w:szCs w:val="36"/>
        </w:rPr>
        <w:t>le Parti convengono quanto segue:</w:t>
      </w:r>
    </w:p>
    <w:p w:rsidR="00442264" w:rsidRDefault="00442264">
      <w:pPr>
        <w:pStyle w:val="normal0"/>
        <w:ind w:left="720" w:hanging="360"/>
      </w:pPr>
    </w:p>
    <w:p w:rsidR="00442264" w:rsidRDefault="00442264">
      <w:pPr>
        <w:pStyle w:val="Heading1"/>
        <w:contextualSpacing w:val="0"/>
      </w:pPr>
      <w:bookmarkStart w:id="2" w:name="_22aarkm1hmg7" w:colFirst="0" w:colLast="0"/>
      <w:bookmarkEnd w:id="2"/>
      <w:r>
        <w:t>Art. 1. Premesse</w:t>
      </w:r>
    </w:p>
    <w:p w:rsidR="00442264" w:rsidRDefault="00442264">
      <w:pPr>
        <w:pStyle w:val="normal0"/>
        <w:numPr>
          <w:ilvl w:val="0"/>
          <w:numId w:val="8"/>
        </w:numPr>
        <w:ind w:hanging="360"/>
        <w:contextualSpacing/>
      </w:pPr>
      <w:r>
        <w:t>Le premesse fanno parte integrante del presente Accordo.</w:t>
      </w:r>
    </w:p>
    <w:p w:rsidR="00442264" w:rsidRDefault="00442264">
      <w:pPr>
        <w:pStyle w:val="normal0"/>
      </w:pPr>
    </w:p>
    <w:p w:rsidR="00442264" w:rsidRDefault="00442264">
      <w:pPr>
        <w:pStyle w:val="Heading1"/>
        <w:contextualSpacing w:val="0"/>
      </w:pPr>
      <w:bookmarkStart w:id="3" w:name="_3y3vcajqpmrk" w:colFirst="0" w:colLast="0"/>
      <w:bookmarkEnd w:id="3"/>
      <w:r>
        <w:t>Art. 2. Oggetto e Consenso</w:t>
      </w:r>
    </w:p>
    <w:p w:rsidR="00442264" w:rsidRDefault="00442264">
      <w:pPr>
        <w:pStyle w:val="normal0"/>
        <w:numPr>
          <w:ilvl w:val="0"/>
          <w:numId w:val="10"/>
        </w:numPr>
        <w:ind w:hanging="360"/>
        <w:contextualSpacing/>
      </w:pPr>
      <w:r>
        <w:t>la Provincia cede l’uso esclusivo delle infrastrutture elencate nell’Allegato “A”, ivi compresi gli apparati di comunicazione elettronica necessari per il collegamento, a LepidaSpA, per azioni e scopi analoghi a quelli richiamati nella D.G.R. 1907/2010;</w:t>
      </w:r>
    </w:p>
    <w:p w:rsidR="00442264" w:rsidRDefault="00442264">
      <w:pPr>
        <w:pStyle w:val="normal0"/>
        <w:numPr>
          <w:ilvl w:val="0"/>
          <w:numId w:val="10"/>
        </w:numPr>
        <w:ind w:hanging="360"/>
        <w:contextualSpacing/>
      </w:pPr>
      <w:r>
        <w:t xml:space="preserve">LepidaSpA accetta il mandato all’esercizio delle infrastrutture di cui all’Allegato “A”. </w:t>
      </w:r>
    </w:p>
    <w:p w:rsidR="00442264" w:rsidRDefault="00442264">
      <w:pPr>
        <w:pStyle w:val="normal0"/>
      </w:pPr>
    </w:p>
    <w:p w:rsidR="00442264" w:rsidRDefault="00442264">
      <w:pPr>
        <w:pStyle w:val="Heading1"/>
        <w:contextualSpacing w:val="0"/>
      </w:pPr>
      <w:bookmarkStart w:id="4" w:name="_7qs9b3xzrrp1" w:colFirst="0" w:colLast="0"/>
      <w:bookmarkEnd w:id="4"/>
      <w:r>
        <w:t>Art. 3. Contenuti dell’Allegato “A”</w:t>
      </w:r>
    </w:p>
    <w:p w:rsidR="00442264" w:rsidRDefault="00442264">
      <w:pPr>
        <w:pStyle w:val="normal0"/>
        <w:numPr>
          <w:ilvl w:val="0"/>
          <w:numId w:val="1"/>
        </w:numPr>
        <w:ind w:hanging="360"/>
        <w:contextualSpacing/>
      </w:pPr>
      <w:r>
        <w:t>L’Allegato “A” deve necessariamente contenere i seguenti elementi per ogni infrastruttura affidata:</w:t>
      </w:r>
    </w:p>
    <w:p w:rsidR="00442264" w:rsidRDefault="00442264">
      <w:pPr>
        <w:pStyle w:val="normal0"/>
        <w:numPr>
          <w:ilvl w:val="1"/>
          <w:numId w:val="1"/>
        </w:numPr>
        <w:ind w:hanging="360"/>
        <w:contextualSpacing/>
      </w:pPr>
      <w:r>
        <w:t>elenco dei portanti ottici affidati con indicazione:</w:t>
      </w:r>
    </w:p>
    <w:p w:rsidR="00442264" w:rsidRDefault="00442264">
      <w:pPr>
        <w:pStyle w:val="normal0"/>
        <w:numPr>
          <w:ilvl w:val="2"/>
          <w:numId w:val="1"/>
        </w:numPr>
        <w:ind w:hanging="360"/>
        <w:contextualSpacing/>
      </w:pPr>
      <w:r>
        <w:t>del percorso;</w:t>
      </w:r>
    </w:p>
    <w:p w:rsidR="00442264" w:rsidRDefault="00442264">
      <w:pPr>
        <w:pStyle w:val="normal0"/>
        <w:numPr>
          <w:ilvl w:val="2"/>
          <w:numId w:val="1"/>
        </w:numPr>
        <w:ind w:hanging="360"/>
        <w:contextualSpacing/>
      </w:pPr>
      <w:r>
        <w:t>della numerosità;</w:t>
      </w:r>
    </w:p>
    <w:p w:rsidR="00442264" w:rsidRDefault="00442264">
      <w:pPr>
        <w:pStyle w:val="normal0"/>
        <w:numPr>
          <w:ilvl w:val="2"/>
          <w:numId w:val="1"/>
        </w:numPr>
        <w:ind w:hanging="360"/>
        <w:contextualSpacing/>
      </w:pPr>
      <w:r>
        <w:t>dei punti di consegna;</w:t>
      </w:r>
    </w:p>
    <w:p w:rsidR="00442264" w:rsidRDefault="00442264">
      <w:pPr>
        <w:pStyle w:val="normal0"/>
        <w:numPr>
          <w:ilvl w:val="2"/>
          <w:numId w:val="1"/>
        </w:numPr>
        <w:ind w:hanging="360"/>
        <w:contextualSpacing/>
      </w:pPr>
      <w:r>
        <w:t>della numerazione assegnata;</w:t>
      </w:r>
    </w:p>
    <w:p w:rsidR="00442264" w:rsidRDefault="00442264">
      <w:pPr>
        <w:pStyle w:val="normal0"/>
        <w:numPr>
          <w:ilvl w:val="1"/>
          <w:numId w:val="1"/>
        </w:numPr>
        <w:ind w:hanging="360"/>
        <w:contextualSpacing/>
      </w:pPr>
      <w:r>
        <w:t>elenco degli apparati affidati con indicazione:</w:t>
      </w:r>
    </w:p>
    <w:p w:rsidR="00442264" w:rsidRDefault="00442264">
      <w:pPr>
        <w:pStyle w:val="normal0"/>
        <w:numPr>
          <w:ilvl w:val="2"/>
          <w:numId w:val="1"/>
        </w:numPr>
        <w:ind w:hanging="360"/>
        <w:contextualSpacing/>
      </w:pPr>
      <w:r>
        <w:t xml:space="preserve">del produttore; </w:t>
      </w:r>
    </w:p>
    <w:p w:rsidR="00442264" w:rsidRDefault="00442264">
      <w:pPr>
        <w:pStyle w:val="normal0"/>
        <w:numPr>
          <w:ilvl w:val="2"/>
          <w:numId w:val="1"/>
        </w:numPr>
        <w:ind w:hanging="360"/>
        <w:contextualSpacing/>
      </w:pPr>
      <w:r>
        <w:t xml:space="preserve">del modello; </w:t>
      </w:r>
    </w:p>
    <w:p w:rsidR="00442264" w:rsidRDefault="00442264">
      <w:pPr>
        <w:pStyle w:val="normal0"/>
        <w:numPr>
          <w:ilvl w:val="2"/>
          <w:numId w:val="1"/>
        </w:numPr>
        <w:ind w:hanging="360"/>
        <w:contextualSpacing/>
      </w:pPr>
      <w:r>
        <w:t>del Product Number;</w:t>
      </w:r>
    </w:p>
    <w:p w:rsidR="00442264" w:rsidRDefault="00442264">
      <w:pPr>
        <w:pStyle w:val="normal0"/>
        <w:numPr>
          <w:ilvl w:val="2"/>
          <w:numId w:val="1"/>
        </w:numPr>
        <w:ind w:hanging="360"/>
        <w:contextualSpacing/>
      </w:pPr>
      <w:r>
        <w:t>del Serial Number;</w:t>
      </w:r>
    </w:p>
    <w:p w:rsidR="00442264" w:rsidRDefault="00442264">
      <w:pPr>
        <w:pStyle w:val="normal0"/>
        <w:numPr>
          <w:ilvl w:val="2"/>
          <w:numId w:val="1"/>
        </w:numPr>
        <w:ind w:hanging="360"/>
        <w:contextualSpacing/>
      </w:pPr>
      <w:r>
        <w:t>delle credenziali di accesso;</w:t>
      </w:r>
    </w:p>
    <w:p w:rsidR="00442264" w:rsidRDefault="00442264">
      <w:pPr>
        <w:pStyle w:val="normal0"/>
        <w:numPr>
          <w:ilvl w:val="0"/>
          <w:numId w:val="1"/>
        </w:numPr>
        <w:ind w:hanging="360"/>
        <w:contextualSpacing/>
      </w:pPr>
      <w:r>
        <w:t>Eventuali modifiche e/o integrazioni alla lista contenuta nell’Allegato “A” sono apportate con atto scritto a firma, tra i referenti delle Parti, definiti dall’Art. 11.</w:t>
      </w:r>
    </w:p>
    <w:p w:rsidR="00442264" w:rsidRDefault="00442264">
      <w:pPr>
        <w:pStyle w:val="normal0"/>
      </w:pPr>
    </w:p>
    <w:p w:rsidR="00442264" w:rsidRDefault="00442264">
      <w:pPr>
        <w:pStyle w:val="Heading1"/>
        <w:contextualSpacing w:val="0"/>
      </w:pPr>
      <w:bookmarkStart w:id="5" w:name="_4xdjyzq5rymo" w:colFirst="0" w:colLast="0"/>
      <w:bookmarkEnd w:id="5"/>
      <w:r>
        <w:t>Art. 4 Impegni di LepidaSpA</w:t>
      </w:r>
    </w:p>
    <w:p w:rsidR="00442264" w:rsidRDefault="00442264">
      <w:pPr>
        <w:pStyle w:val="normal0"/>
      </w:pPr>
      <w:r>
        <w:t>LepidaSpA si impegna:</w:t>
      </w:r>
    </w:p>
    <w:p w:rsidR="00442264" w:rsidRDefault="00442264">
      <w:pPr>
        <w:pStyle w:val="normal0"/>
        <w:numPr>
          <w:ilvl w:val="0"/>
          <w:numId w:val="2"/>
        </w:numPr>
        <w:ind w:hanging="360"/>
        <w:contextualSpacing/>
      </w:pPr>
      <w:r>
        <w:t>ad utilizzare l’autorizzazione generale per le reti e i servizi di comunicazione elettronica pubblica o privata più confacente alla tipologia di servizio prevista per le  reti concesse in uso esclusivo;</w:t>
      </w:r>
    </w:p>
    <w:p w:rsidR="00442264" w:rsidRDefault="00442264">
      <w:pPr>
        <w:pStyle w:val="normal0"/>
        <w:numPr>
          <w:ilvl w:val="0"/>
          <w:numId w:val="2"/>
        </w:numPr>
        <w:ind w:hanging="360"/>
        <w:contextualSpacing/>
      </w:pPr>
      <w:r>
        <w:t>a consentire alla Provincia di effettuare proprio traffico sulle infrastrutture messe a disposizione di LepidaSpA;</w:t>
      </w:r>
    </w:p>
    <w:p w:rsidR="00442264" w:rsidRDefault="00442264">
      <w:pPr>
        <w:pStyle w:val="normal0"/>
        <w:numPr>
          <w:ilvl w:val="0"/>
          <w:numId w:val="2"/>
        </w:numPr>
        <w:ind w:hanging="360"/>
        <w:contextualSpacing/>
      </w:pPr>
      <w:r>
        <w:t>a comunicare ogni informazione necessaria al Ministero dello Sviluppo Economico relativamente alle reti concesse in uso esclusivo.</w:t>
      </w:r>
    </w:p>
    <w:p w:rsidR="00442264" w:rsidRDefault="00442264">
      <w:pPr>
        <w:pStyle w:val="normal0"/>
      </w:pPr>
    </w:p>
    <w:p w:rsidR="00442264" w:rsidRDefault="00442264">
      <w:pPr>
        <w:pStyle w:val="Heading1"/>
        <w:contextualSpacing w:val="0"/>
      </w:pPr>
      <w:bookmarkStart w:id="6" w:name="_qqoxunw9nv7y" w:colFirst="0" w:colLast="0"/>
      <w:bookmarkEnd w:id="6"/>
      <w:r>
        <w:t>Art. 5. Impegni della Provincia</w:t>
      </w:r>
    </w:p>
    <w:p w:rsidR="00442264" w:rsidRDefault="00442264">
      <w:pPr>
        <w:pStyle w:val="normal0"/>
      </w:pPr>
      <w:r>
        <w:t>La Provincia si impegna:</w:t>
      </w:r>
    </w:p>
    <w:p w:rsidR="00442264" w:rsidRDefault="00442264">
      <w:pPr>
        <w:pStyle w:val="normal0"/>
        <w:numPr>
          <w:ilvl w:val="0"/>
          <w:numId w:val="3"/>
        </w:numPr>
        <w:ind w:hanging="360"/>
        <w:contextualSpacing/>
      </w:pPr>
      <w:r>
        <w:t>a concordare preventivamente qualsiasi modifica architetturale o di configurazione delle reti;</w:t>
      </w:r>
    </w:p>
    <w:p w:rsidR="00442264" w:rsidRDefault="00442264">
      <w:pPr>
        <w:pStyle w:val="normal0"/>
        <w:numPr>
          <w:ilvl w:val="0"/>
          <w:numId w:val="3"/>
        </w:numPr>
        <w:ind w:hanging="360"/>
        <w:contextualSpacing/>
      </w:pPr>
      <w:r>
        <w:t>a fornire a LepidaSpA ogni supporto operativo per attuare l'esercizio delle reti, ivi compresa la messa a disposizione di proprio personale e di risorse strumentali terze opportunamento selezionate e contrattualizzate dalla Provincia stessa.</w:t>
      </w:r>
    </w:p>
    <w:p w:rsidR="00442264" w:rsidRDefault="00442264">
      <w:pPr>
        <w:pStyle w:val="normal0"/>
      </w:pPr>
    </w:p>
    <w:p w:rsidR="00442264" w:rsidRDefault="00442264">
      <w:pPr>
        <w:pStyle w:val="Heading1"/>
        <w:contextualSpacing w:val="0"/>
      </w:pPr>
      <w:bookmarkStart w:id="7" w:name="_6r33m8js7g71" w:colFirst="0" w:colLast="0"/>
      <w:bookmarkEnd w:id="7"/>
      <w:r>
        <w:t>Art. 6. Oneri</w:t>
      </w:r>
    </w:p>
    <w:p w:rsidR="00442264" w:rsidRDefault="00442264">
      <w:pPr>
        <w:pStyle w:val="normal0"/>
        <w:numPr>
          <w:ilvl w:val="0"/>
          <w:numId w:val="9"/>
        </w:numPr>
        <w:ind w:hanging="360"/>
        <w:contextualSpacing/>
      </w:pPr>
      <w:r>
        <w:t>La concessione dell'uso ed il mandato all'esercizio di suddette reti di telecomunicazione sono a titolo gratuito e non oneroso per entrambe le Parti, fatti salvi gli eventuali costi affrontati per ulteriori autorizzazioni specifiche che si rendessero necessarie.</w:t>
      </w:r>
    </w:p>
    <w:p w:rsidR="00442264" w:rsidRDefault="00442264">
      <w:pPr>
        <w:pStyle w:val="normal0"/>
      </w:pPr>
    </w:p>
    <w:p w:rsidR="00442264" w:rsidRDefault="00442264">
      <w:pPr>
        <w:pStyle w:val="Heading1"/>
        <w:contextualSpacing w:val="0"/>
      </w:pPr>
      <w:bookmarkStart w:id="8" w:name="_9cane6dwqoyb" w:colFirst="0" w:colLast="0"/>
      <w:bookmarkEnd w:id="8"/>
      <w:r>
        <w:t>Art. 7. Manutenzione</w:t>
      </w:r>
    </w:p>
    <w:p w:rsidR="00442264" w:rsidRDefault="00442264">
      <w:pPr>
        <w:pStyle w:val="normal0"/>
        <w:numPr>
          <w:ilvl w:val="0"/>
          <w:numId w:val="12"/>
        </w:numPr>
        <w:ind w:hanging="360"/>
        <w:contextualSpacing/>
      </w:pPr>
      <w:r>
        <w:t>Le attività di manutenzione ordinaria e straordinaria su infrastruttura ed apparati esulano dal mandato affidato nell’ambito della presente Convenzione.</w:t>
      </w:r>
    </w:p>
    <w:p w:rsidR="00442264" w:rsidRDefault="00442264">
      <w:pPr>
        <w:pStyle w:val="normal0"/>
      </w:pPr>
    </w:p>
    <w:p w:rsidR="00442264" w:rsidRDefault="00442264">
      <w:pPr>
        <w:pStyle w:val="Heading1"/>
        <w:contextualSpacing w:val="0"/>
      </w:pPr>
      <w:bookmarkStart w:id="9" w:name="_ywgawev2hugx" w:colFirst="0" w:colLast="0"/>
      <w:bookmarkEnd w:id="9"/>
      <w:r>
        <w:t>Art. 8. Durata</w:t>
      </w:r>
    </w:p>
    <w:p w:rsidR="00442264" w:rsidRDefault="00442264">
      <w:pPr>
        <w:pStyle w:val="normal0"/>
        <w:numPr>
          <w:ilvl w:val="0"/>
          <w:numId w:val="4"/>
        </w:numPr>
        <w:ind w:hanging="360"/>
        <w:contextualSpacing/>
      </w:pPr>
      <w:r>
        <w:t>La concessione dell’uso esclusivo e non oneroso di suddette reti di telecomunicazione ed il relativo mandato all’esercizio delle stesse resteranno in vigore per tutto il periodo di persistenza della titolarità in capo a LepidaSpA di autorizzazioni abilitative per l’esercizio di reti di telecomunicazioni.</w:t>
      </w:r>
    </w:p>
    <w:p w:rsidR="00442264" w:rsidRDefault="00442264">
      <w:pPr>
        <w:pStyle w:val="normal0"/>
      </w:pPr>
    </w:p>
    <w:p w:rsidR="00442264" w:rsidRDefault="00442264">
      <w:pPr>
        <w:pStyle w:val="Heading1"/>
        <w:contextualSpacing w:val="0"/>
      </w:pPr>
      <w:bookmarkStart w:id="10" w:name="_5jcqrm46tr40" w:colFirst="0" w:colLast="0"/>
      <w:bookmarkEnd w:id="10"/>
      <w:r>
        <w:t>Art. 9. Recesso</w:t>
      </w:r>
    </w:p>
    <w:p w:rsidR="00442264" w:rsidRDefault="00442264">
      <w:pPr>
        <w:pStyle w:val="normal0"/>
        <w:numPr>
          <w:ilvl w:val="0"/>
          <w:numId w:val="11"/>
        </w:numPr>
        <w:ind w:hanging="360"/>
        <w:contextualSpacing/>
      </w:pPr>
      <w:r>
        <w:t>Le Parti riconoscono sin da ora reciprocamente la facoltà di recedere, in qualsiasi momento, dalla presente Convenzione dandone comunicazione tramite pec almeno 180 (centottanta) giorni prima dalla data in cui il recesso dovrà avere effetto.</w:t>
      </w:r>
    </w:p>
    <w:p w:rsidR="00442264" w:rsidRDefault="00442264">
      <w:pPr>
        <w:pStyle w:val="normal0"/>
      </w:pPr>
    </w:p>
    <w:p w:rsidR="00442264" w:rsidRDefault="00442264">
      <w:pPr>
        <w:pStyle w:val="Heading1"/>
        <w:contextualSpacing w:val="0"/>
      </w:pPr>
      <w:bookmarkStart w:id="11" w:name="_haw8megq6b7y" w:colFirst="0" w:colLast="0"/>
      <w:bookmarkEnd w:id="11"/>
      <w:r>
        <w:t>Art. 10. Disposizioni finali</w:t>
      </w:r>
    </w:p>
    <w:p w:rsidR="00442264" w:rsidRDefault="00442264">
      <w:pPr>
        <w:pStyle w:val="normal0"/>
        <w:keepNext/>
        <w:keepLines/>
        <w:numPr>
          <w:ilvl w:val="0"/>
          <w:numId w:val="14"/>
        </w:numPr>
        <w:spacing w:after="40"/>
        <w:ind w:hanging="360"/>
        <w:contextualSpacing/>
      </w:pPr>
      <w:bookmarkStart w:id="12" w:name="_41mghml" w:colFirst="0" w:colLast="0"/>
      <w:bookmarkEnd w:id="12"/>
      <w:r>
        <w:t>Ogni eventuale modifica e/o integrazione al contenuto della presente Convenzione dovrà essere espressamente concordata tra le Parti;</w:t>
      </w:r>
    </w:p>
    <w:p w:rsidR="00442264" w:rsidRDefault="00442264">
      <w:pPr>
        <w:pStyle w:val="normal0"/>
        <w:keepNext/>
        <w:numPr>
          <w:ilvl w:val="0"/>
          <w:numId w:val="14"/>
        </w:numPr>
        <w:ind w:hanging="360"/>
        <w:contextualSpacing/>
      </w:pPr>
      <w:r>
        <w:t>il presente atto sarà registrato solo in caso d’uso ai sensi del D.P.R. 26 ottobre 1972, n. 634 e successive modifiche ed integrazioni, a cura e spese della parte richiedente;</w:t>
      </w:r>
    </w:p>
    <w:p w:rsidR="00442264" w:rsidRDefault="00442264">
      <w:pPr>
        <w:pStyle w:val="normal0"/>
        <w:keepNext/>
        <w:numPr>
          <w:ilvl w:val="0"/>
          <w:numId w:val="14"/>
        </w:numPr>
        <w:ind w:hanging="360"/>
        <w:contextualSpacing/>
      </w:pPr>
      <w:r>
        <w:t>per quanto non espressamente contemplato nella presente Convenzione si applicano le norme del Codice Civile.</w:t>
      </w:r>
    </w:p>
    <w:p w:rsidR="00442264" w:rsidRDefault="00442264">
      <w:pPr>
        <w:pStyle w:val="normal0"/>
        <w:keepNext/>
      </w:pPr>
    </w:p>
    <w:p w:rsidR="00442264" w:rsidRDefault="00442264">
      <w:pPr>
        <w:pStyle w:val="Heading1"/>
        <w:keepNext/>
        <w:keepLines/>
        <w:contextualSpacing w:val="0"/>
        <w:jc w:val="left"/>
      </w:pPr>
      <w:bookmarkStart w:id="13" w:name="_2grqrue" w:colFirst="0" w:colLast="0"/>
      <w:bookmarkEnd w:id="13"/>
      <w:r>
        <w:t>Art. 11. Referenti</w:t>
      </w:r>
    </w:p>
    <w:p w:rsidR="00442264" w:rsidRDefault="00442264">
      <w:pPr>
        <w:pStyle w:val="normal0"/>
        <w:numPr>
          <w:ilvl w:val="0"/>
          <w:numId w:val="7"/>
        </w:numPr>
        <w:ind w:hanging="360"/>
        <w:contextualSpacing/>
      </w:pPr>
      <w:r>
        <w:t>La Provincia comunicherà a LepidaSpA il proprio referente per il mandato in oggetto entro una settimana dalla sottoscrizione;</w:t>
      </w:r>
    </w:p>
    <w:p w:rsidR="00442264" w:rsidRDefault="00442264">
      <w:pPr>
        <w:pStyle w:val="normal0"/>
        <w:numPr>
          <w:ilvl w:val="0"/>
          <w:numId w:val="7"/>
        </w:numPr>
        <w:ind w:hanging="360"/>
        <w:contextualSpacing/>
      </w:pPr>
      <w:r>
        <w:t>La Provincia comunicherà a LepidaSpA ogni variazione di referente che ritenga necessaria;</w:t>
      </w:r>
    </w:p>
    <w:p w:rsidR="00442264" w:rsidRDefault="00442264">
      <w:pPr>
        <w:pStyle w:val="normal0"/>
        <w:numPr>
          <w:ilvl w:val="0"/>
          <w:numId w:val="7"/>
        </w:numPr>
        <w:ind w:hanging="360"/>
        <w:contextualSpacing/>
      </w:pPr>
      <w:r>
        <w:t>LepidaSpA comunicherà alla Provincia il proprio referente per il mandato in oggetto entro una settimana dalla sottoscrizione;</w:t>
      </w:r>
    </w:p>
    <w:p w:rsidR="00442264" w:rsidRDefault="00442264">
      <w:pPr>
        <w:pStyle w:val="normal0"/>
        <w:numPr>
          <w:ilvl w:val="0"/>
          <w:numId w:val="7"/>
        </w:numPr>
        <w:ind w:hanging="360"/>
        <w:contextualSpacing/>
      </w:pPr>
      <w:r>
        <w:t>LepidaSpA comunicherà alla Provincia ogni variazione di referente che ritenga necessaria.</w:t>
      </w:r>
    </w:p>
    <w:p w:rsidR="00442264" w:rsidRDefault="00442264">
      <w:pPr>
        <w:pStyle w:val="normal0"/>
        <w:keepNext/>
      </w:pPr>
    </w:p>
    <w:p w:rsidR="00442264" w:rsidRDefault="00442264">
      <w:pPr>
        <w:pStyle w:val="normal0"/>
        <w:keepNext/>
      </w:pPr>
      <w:r>
        <w:t>Letto, approvato e sottoscritto</w:t>
      </w:r>
    </w:p>
    <w:p w:rsidR="00442264" w:rsidRDefault="00442264">
      <w:pPr>
        <w:pStyle w:val="normal0"/>
        <w:keepNext/>
        <w:ind w:right="-82"/>
        <w:jc w:val="left"/>
      </w:pPr>
    </w:p>
    <w:tbl>
      <w:tblPr>
        <w:tblW w:w="9039" w:type="dxa"/>
        <w:tblInd w:w="-108" w:type="dxa"/>
        <w:tblLayout w:type="fixed"/>
        <w:tblCellMar>
          <w:left w:w="70" w:type="dxa"/>
          <w:right w:w="70" w:type="dxa"/>
        </w:tblCellMar>
        <w:tblLook w:val="0000"/>
      </w:tblPr>
      <w:tblGrid>
        <w:gridCol w:w="4520"/>
        <w:gridCol w:w="4519"/>
      </w:tblGrid>
      <w:tr w:rsidR="00442264" w:rsidTr="0039604A">
        <w:tc>
          <w:tcPr>
            <w:tcW w:w="4520" w:type="dxa"/>
            <w:tcBorders>
              <w:top w:val="nil"/>
              <w:left w:val="nil"/>
              <w:bottom w:val="nil"/>
              <w:right w:val="nil"/>
            </w:tcBorders>
          </w:tcPr>
          <w:p w:rsidR="00442264" w:rsidRDefault="00442264" w:rsidP="0039604A">
            <w:pPr>
              <w:pStyle w:val="normal0"/>
              <w:keepNext/>
              <w:jc w:val="center"/>
            </w:pPr>
            <w:r>
              <w:t>Provincia di Reggio Emilia</w:t>
            </w:r>
          </w:p>
        </w:tc>
        <w:tc>
          <w:tcPr>
            <w:tcW w:w="4519" w:type="dxa"/>
            <w:tcBorders>
              <w:top w:val="nil"/>
              <w:left w:val="nil"/>
              <w:bottom w:val="nil"/>
              <w:right w:val="nil"/>
            </w:tcBorders>
          </w:tcPr>
          <w:p w:rsidR="00442264" w:rsidRDefault="00442264" w:rsidP="0039604A">
            <w:pPr>
              <w:pStyle w:val="normal0"/>
              <w:keepNext/>
              <w:jc w:val="center"/>
            </w:pPr>
            <w:r>
              <w:t>Lepida S.p.A.</w:t>
            </w:r>
          </w:p>
        </w:tc>
      </w:tr>
      <w:tr w:rsidR="00442264" w:rsidTr="0039604A">
        <w:tc>
          <w:tcPr>
            <w:tcW w:w="4520" w:type="dxa"/>
            <w:tcBorders>
              <w:top w:val="nil"/>
              <w:left w:val="nil"/>
              <w:bottom w:val="nil"/>
              <w:right w:val="nil"/>
            </w:tcBorders>
          </w:tcPr>
          <w:p w:rsidR="00442264" w:rsidRDefault="00442264" w:rsidP="0039604A">
            <w:pPr>
              <w:pStyle w:val="normal0"/>
              <w:keepNext/>
              <w:jc w:val="center"/>
            </w:pPr>
            <w:r>
              <w:t>Il XXX</w:t>
            </w:r>
          </w:p>
          <w:p w:rsidR="00442264" w:rsidRDefault="00442264" w:rsidP="0039604A">
            <w:pPr>
              <w:pStyle w:val="normal0"/>
              <w:keepNext/>
              <w:jc w:val="center"/>
            </w:pPr>
          </w:p>
          <w:p w:rsidR="00442264" w:rsidRDefault="00442264" w:rsidP="0039604A">
            <w:pPr>
              <w:pStyle w:val="normal0"/>
              <w:keepNext/>
              <w:jc w:val="center"/>
            </w:pPr>
          </w:p>
        </w:tc>
        <w:tc>
          <w:tcPr>
            <w:tcW w:w="4519" w:type="dxa"/>
            <w:tcBorders>
              <w:top w:val="nil"/>
              <w:left w:val="nil"/>
              <w:bottom w:val="nil"/>
              <w:right w:val="nil"/>
            </w:tcBorders>
          </w:tcPr>
          <w:p w:rsidR="00442264" w:rsidRDefault="00442264" w:rsidP="0039604A">
            <w:pPr>
              <w:pStyle w:val="normal0"/>
              <w:keepNext/>
              <w:jc w:val="center"/>
            </w:pPr>
            <w:r>
              <w:t>Il Direttore Generale</w:t>
            </w:r>
          </w:p>
        </w:tc>
      </w:tr>
      <w:tr w:rsidR="00442264" w:rsidTr="0039604A">
        <w:tc>
          <w:tcPr>
            <w:tcW w:w="4520" w:type="dxa"/>
            <w:tcBorders>
              <w:top w:val="nil"/>
              <w:left w:val="nil"/>
              <w:bottom w:val="nil"/>
              <w:right w:val="nil"/>
            </w:tcBorders>
          </w:tcPr>
          <w:p w:rsidR="00442264" w:rsidRDefault="00442264" w:rsidP="0039604A">
            <w:pPr>
              <w:pStyle w:val="normal0"/>
              <w:keepNext/>
              <w:jc w:val="center"/>
            </w:pPr>
          </w:p>
          <w:p w:rsidR="00442264" w:rsidRDefault="00442264" w:rsidP="0039604A">
            <w:pPr>
              <w:pStyle w:val="normal0"/>
              <w:keepNext/>
              <w:jc w:val="center"/>
            </w:pPr>
            <w:r>
              <w:t>_______________________________</w:t>
            </w:r>
          </w:p>
        </w:tc>
        <w:tc>
          <w:tcPr>
            <w:tcW w:w="4519" w:type="dxa"/>
            <w:tcBorders>
              <w:top w:val="nil"/>
              <w:left w:val="nil"/>
              <w:bottom w:val="nil"/>
              <w:right w:val="nil"/>
            </w:tcBorders>
          </w:tcPr>
          <w:p w:rsidR="00442264" w:rsidRDefault="00442264" w:rsidP="0039604A">
            <w:pPr>
              <w:pStyle w:val="normal0"/>
              <w:keepNext/>
              <w:jc w:val="center"/>
            </w:pPr>
          </w:p>
          <w:p w:rsidR="00442264" w:rsidRDefault="00442264" w:rsidP="0039604A">
            <w:pPr>
              <w:pStyle w:val="normal0"/>
              <w:keepNext/>
              <w:jc w:val="center"/>
            </w:pPr>
            <w:r>
              <w:t>_______________________________</w:t>
            </w:r>
          </w:p>
        </w:tc>
      </w:tr>
    </w:tbl>
    <w:p w:rsidR="00442264" w:rsidRDefault="00442264">
      <w:pPr>
        <w:pStyle w:val="normal0"/>
        <w:keepNext/>
        <w:jc w:val="left"/>
      </w:pPr>
    </w:p>
    <w:sectPr w:rsidR="00442264" w:rsidSect="005C74B8">
      <w:pgSz w:w="11906" w:h="16838"/>
      <w:pgMar w:top="1440" w:right="1440" w:bottom="108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Ubuntu">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368BE"/>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1">
    <w:nsid w:val="057E6317"/>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2">
    <w:nsid w:val="08487039"/>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3">
    <w:nsid w:val="11594698"/>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4">
    <w:nsid w:val="150219DA"/>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5">
    <w:nsid w:val="1AE20150"/>
    <w:multiLevelType w:val="multilevel"/>
    <w:tmpl w:val="FFFFFFFF"/>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1D6148F7"/>
    <w:multiLevelType w:val="multilevel"/>
    <w:tmpl w:val="FFFFFFFF"/>
    <w:lvl w:ilvl="0">
      <w:start w:val="1"/>
      <w:numFmt w:val="decimal"/>
      <w:lvlText w:val="%1."/>
      <w:lvlJc w:val="left"/>
      <w:pPr>
        <w:ind w:left="720" w:firstLine="360"/>
      </w:pPr>
      <w:rPr>
        <w:rFonts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58627EC4"/>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8">
    <w:nsid w:val="68F26636"/>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9">
    <w:nsid w:val="6A5F0589"/>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10">
    <w:nsid w:val="6CF07E96"/>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11">
    <w:nsid w:val="7455285F"/>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12">
    <w:nsid w:val="747F70E3"/>
    <w:multiLevelType w:val="multilevel"/>
    <w:tmpl w:val="FFFFFFFF"/>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13">
    <w:nsid w:val="75267ABB"/>
    <w:multiLevelType w:val="multilevel"/>
    <w:tmpl w:val="FFFFFFFF"/>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7"/>
  </w:num>
  <w:num w:numId="2">
    <w:abstractNumId w:val="10"/>
  </w:num>
  <w:num w:numId="3">
    <w:abstractNumId w:val="3"/>
  </w:num>
  <w:num w:numId="4">
    <w:abstractNumId w:val="12"/>
  </w:num>
  <w:num w:numId="5">
    <w:abstractNumId w:val="13"/>
  </w:num>
  <w:num w:numId="6">
    <w:abstractNumId w:val="6"/>
  </w:num>
  <w:num w:numId="7">
    <w:abstractNumId w:val="8"/>
  </w:num>
  <w:num w:numId="8">
    <w:abstractNumId w:val="9"/>
  </w:num>
  <w:num w:numId="9">
    <w:abstractNumId w:val="2"/>
  </w:num>
  <w:num w:numId="10">
    <w:abstractNumId w:val="4"/>
  </w:num>
  <w:num w:numId="11">
    <w:abstractNumId w:val="11"/>
  </w:num>
  <w:num w:numId="12">
    <w:abstractNumId w:val="0"/>
  </w:num>
  <w:num w:numId="13">
    <w:abstractNumId w:val="5"/>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C74B8"/>
    <w:rsid w:val="000C1E08"/>
    <w:rsid w:val="001C4E22"/>
    <w:rsid w:val="00272A6D"/>
    <w:rsid w:val="0039604A"/>
    <w:rsid w:val="003D15E1"/>
    <w:rsid w:val="00442264"/>
    <w:rsid w:val="005258C3"/>
    <w:rsid w:val="005C74B8"/>
    <w:rsid w:val="00AA6B00"/>
    <w:rsid w:val="00E262CE"/>
    <w:rsid w:val="00F76B93"/>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Ubuntu" w:eastAsia="Ubuntu" w:hAnsi="Ubuntu" w:cs="Ubuntu"/>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B93"/>
    <w:pPr>
      <w:spacing w:line="276" w:lineRule="auto"/>
      <w:jc w:val="both"/>
    </w:pPr>
    <w:rPr>
      <w:color w:val="000000"/>
    </w:rPr>
  </w:style>
  <w:style w:type="paragraph" w:styleId="Heading1">
    <w:name w:val="heading 1"/>
    <w:basedOn w:val="normal0"/>
    <w:next w:val="normal0"/>
    <w:link w:val="Heading1Char"/>
    <w:uiPriority w:val="99"/>
    <w:qFormat/>
    <w:rsid w:val="005C74B8"/>
    <w:pPr>
      <w:contextualSpacing/>
      <w:outlineLvl w:val="0"/>
    </w:pPr>
    <w:rPr>
      <w:rFonts w:ascii="Calibri" w:hAnsi="Calibri" w:cs="Calibri"/>
      <w:b/>
      <w:color w:val="0000FF"/>
      <w:sz w:val="48"/>
      <w:szCs w:val="48"/>
    </w:rPr>
  </w:style>
  <w:style w:type="paragraph" w:styleId="Heading2">
    <w:name w:val="heading 2"/>
    <w:basedOn w:val="normal0"/>
    <w:next w:val="normal0"/>
    <w:link w:val="Heading2Char"/>
    <w:uiPriority w:val="99"/>
    <w:qFormat/>
    <w:rsid w:val="005C74B8"/>
    <w:pPr>
      <w:contextualSpacing/>
      <w:outlineLvl w:val="1"/>
    </w:pPr>
    <w:rPr>
      <w:rFonts w:ascii="Calibri" w:hAnsi="Calibri" w:cs="Calibri"/>
      <w:b/>
      <w:color w:val="FF9900"/>
      <w:sz w:val="36"/>
      <w:szCs w:val="36"/>
    </w:rPr>
  </w:style>
  <w:style w:type="paragraph" w:styleId="Heading3">
    <w:name w:val="heading 3"/>
    <w:basedOn w:val="normal0"/>
    <w:next w:val="normal0"/>
    <w:link w:val="Heading3Char"/>
    <w:uiPriority w:val="99"/>
    <w:qFormat/>
    <w:rsid w:val="005C74B8"/>
    <w:pPr>
      <w:contextualSpacing/>
      <w:outlineLvl w:val="2"/>
    </w:pPr>
    <w:rPr>
      <w:rFonts w:ascii="Calibri" w:hAnsi="Calibri" w:cs="Calibri"/>
      <w:b/>
      <w:color w:val="FF9900"/>
      <w:sz w:val="28"/>
      <w:szCs w:val="28"/>
    </w:rPr>
  </w:style>
  <w:style w:type="paragraph" w:styleId="Heading4">
    <w:name w:val="heading 4"/>
    <w:basedOn w:val="normal0"/>
    <w:next w:val="normal0"/>
    <w:link w:val="Heading4Char"/>
    <w:uiPriority w:val="99"/>
    <w:qFormat/>
    <w:rsid w:val="005C74B8"/>
    <w:pPr>
      <w:keepNext/>
      <w:keepLines/>
      <w:spacing w:before="160"/>
      <w:contextualSpacing/>
      <w:outlineLvl w:val="3"/>
    </w:pPr>
    <w:rPr>
      <w:rFonts w:ascii="Trebuchet MS" w:hAnsi="Trebuchet MS" w:cs="Trebuchet MS"/>
      <w:color w:val="666666"/>
      <w:u w:val="single"/>
    </w:rPr>
  </w:style>
  <w:style w:type="paragraph" w:styleId="Heading5">
    <w:name w:val="heading 5"/>
    <w:basedOn w:val="normal0"/>
    <w:next w:val="normal0"/>
    <w:link w:val="Heading5Char"/>
    <w:uiPriority w:val="99"/>
    <w:qFormat/>
    <w:rsid w:val="005C74B8"/>
    <w:pPr>
      <w:keepNext/>
      <w:keepLines/>
      <w:spacing w:before="160"/>
      <w:contextualSpacing/>
      <w:outlineLvl w:val="4"/>
    </w:pPr>
    <w:rPr>
      <w:rFonts w:ascii="Trebuchet MS" w:hAnsi="Trebuchet MS" w:cs="Trebuchet MS"/>
      <w:color w:val="666666"/>
    </w:rPr>
  </w:style>
  <w:style w:type="paragraph" w:styleId="Heading6">
    <w:name w:val="heading 6"/>
    <w:basedOn w:val="normal0"/>
    <w:next w:val="normal0"/>
    <w:link w:val="Heading6Char"/>
    <w:uiPriority w:val="99"/>
    <w:qFormat/>
    <w:rsid w:val="005C74B8"/>
    <w:pPr>
      <w:keepNext/>
      <w:keepLines/>
      <w:spacing w:before="160"/>
      <w:contextualSpacing/>
      <w:outlineLvl w:val="5"/>
    </w:pPr>
    <w:rPr>
      <w:rFonts w:ascii="Trebuchet MS" w:hAnsi="Trebuchet MS" w:cs="Trebuchet MS"/>
      <w:i/>
      <w:color w:val="66666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color w:val="000000"/>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color w:val="000000"/>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color w:val="000000"/>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color w:val="000000"/>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color w:val="000000"/>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color w:val="000000"/>
    </w:rPr>
  </w:style>
  <w:style w:type="paragraph" w:customStyle="1" w:styleId="normal0">
    <w:name w:val="normal"/>
    <w:uiPriority w:val="99"/>
    <w:rsid w:val="005C74B8"/>
    <w:pPr>
      <w:spacing w:line="276" w:lineRule="auto"/>
      <w:jc w:val="both"/>
    </w:pPr>
    <w:rPr>
      <w:color w:val="000000"/>
    </w:rPr>
  </w:style>
  <w:style w:type="paragraph" w:styleId="Title">
    <w:name w:val="Title"/>
    <w:basedOn w:val="normal0"/>
    <w:next w:val="normal0"/>
    <w:link w:val="TitleChar"/>
    <w:uiPriority w:val="99"/>
    <w:qFormat/>
    <w:rsid w:val="005C74B8"/>
    <w:pPr>
      <w:keepNext/>
      <w:keepLines/>
      <w:spacing w:before="200"/>
      <w:contextualSpacing/>
      <w:jc w:val="center"/>
    </w:pPr>
    <w:rPr>
      <w:rFonts w:ascii="Calibri" w:hAnsi="Calibri" w:cs="Calibri"/>
      <w:b/>
      <w:sz w:val="60"/>
      <w:szCs w:val="60"/>
    </w:rPr>
  </w:style>
  <w:style w:type="character" w:customStyle="1" w:styleId="TitleChar">
    <w:name w:val="Title Char"/>
    <w:basedOn w:val="DefaultParagraphFont"/>
    <w:link w:val="Title"/>
    <w:uiPriority w:val="99"/>
    <w:locked/>
    <w:rPr>
      <w:rFonts w:ascii="Cambria" w:hAnsi="Cambria" w:cs="Times New Roman"/>
      <w:b/>
      <w:bCs/>
      <w:color w:val="000000"/>
      <w:kern w:val="28"/>
      <w:sz w:val="32"/>
      <w:szCs w:val="32"/>
    </w:rPr>
  </w:style>
  <w:style w:type="paragraph" w:styleId="Subtitle">
    <w:name w:val="Subtitle"/>
    <w:basedOn w:val="normal0"/>
    <w:next w:val="normal0"/>
    <w:link w:val="SubtitleChar"/>
    <w:uiPriority w:val="99"/>
    <w:qFormat/>
    <w:rsid w:val="005C74B8"/>
    <w:pPr>
      <w:keepNext/>
      <w:keepLines/>
      <w:spacing w:after="200"/>
      <w:contextualSpacing/>
    </w:pPr>
    <w:rPr>
      <w:rFonts w:ascii="Trebuchet MS" w:hAnsi="Trebuchet MS" w:cs="Trebuchet MS"/>
      <w:i/>
      <w:color w:val="666666"/>
      <w:sz w:val="26"/>
      <w:szCs w:val="26"/>
    </w:rPr>
  </w:style>
  <w:style w:type="character" w:customStyle="1" w:styleId="SubtitleChar">
    <w:name w:val="Subtitle Char"/>
    <w:basedOn w:val="DefaultParagraphFont"/>
    <w:link w:val="Subtitle"/>
    <w:uiPriority w:val="99"/>
    <w:locked/>
    <w:rPr>
      <w:rFonts w:ascii="Cambria" w:hAnsi="Cambria" w:cs="Times New Roman"/>
      <w:color w:val="000000"/>
      <w:sz w:val="24"/>
      <w:szCs w:val="24"/>
    </w:rPr>
  </w:style>
  <w:style w:type="table" w:customStyle="1" w:styleId="Stile">
    <w:name w:val="Stile"/>
    <w:uiPriority w:val="99"/>
    <w:rsid w:val="005C74B8"/>
    <w:rPr>
      <w:sz w:val="20"/>
      <w:szCs w:val="20"/>
    </w:rPr>
    <w:tblPr>
      <w:tblStyleRowBandSize w:val="1"/>
      <w:tblStyleColBandSize w:val="1"/>
      <w:tblInd w:w="0" w:type="dxa"/>
      <w:tblCellMar>
        <w:top w:w="0" w:type="dxa"/>
        <w:left w:w="70" w:type="dxa"/>
        <w:bottom w:w="0" w:type="dxa"/>
        <w:right w:w="7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1217</Words>
  <Characters>6938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Convenzione per l’Esercizio di Portanti Ottiche</dc:title>
  <dc:subject/>
  <dc:creator/>
  <cp:keywords/>
  <dc:description/>
  <cp:lastModifiedBy>msanna</cp:lastModifiedBy>
  <cp:revision>5</cp:revision>
  <dcterms:created xsi:type="dcterms:W3CDTF">2017-06-09T07:14:00Z</dcterms:created>
  <dcterms:modified xsi:type="dcterms:W3CDTF">2017-06-27T13:09:00Z</dcterms:modified>
</cp:coreProperties>
</file>